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prefetch_tuning 1.2</w:t>
      </w:r>
    </w:p>
    <w:p>
      <w:pPr/>
      <w:r>
        <w:rPr>
          <w:rStyle w:val="13"/>
          <w:rFonts w:ascii="Arial" w:hAnsi="Arial"/>
          <w:b/>
        </w:rPr>
        <w:t xml:space="preserve">Copyright notice: </w:t>
      </w:r>
    </w:p>
    <w:p>
      <w:pPr/>
      <w:r>
        <w:rPr>
          <w:rStyle w:val="13"/>
          <w:rFonts w:ascii="宋体" w:hAnsi="宋体"/>
          <w:sz w:val="22"/>
        </w:rPr>
        <w:t>Copyright(c) 2019 Huawei Technologies Co., Ltd</w:t>
        <w:br/>
        <w:t>Copyright (C) 1989, 1991 Free Software Foundation, Inc.</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