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ukui-clock 4.0.0.0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KylinSoft Co., Ltd.</w:t>
        <w:br/>
        <w:t>Copyright (c) 2022 Tianjin KYLIN Information Technology Co., Ltd.</w:t>
        <w:br/>
        <w:t>Copyright (c) 2019 tianjin kylin information technology co., ltd.</w:t>
        <w:br/>
        <w:t>Copyright (c) 2020, Tianjin KYLIN Information Technology Co., Ltd.</w:t>
        <w:br/>
        <w:t>Copyright (c) 2019 Tianjin KYLIN Information Technology Co., Ltd.</w:t>
        <w:br/>
        <w:t>Copyright (c) 2020, tianjin kylin information technology co., ltd.</w:t>
        <w:br/>
      </w:r>
    </w:p>
    <w:p>
      <w:pPr>
        <w:spacing w:line="420" w:lineRule="exact"/>
        <w:rPr>
          <w:rFonts w:hint="eastAsia"/>
        </w:rPr>
      </w:pPr>
      <w:r>
        <w:rPr>
          <w:rFonts w:ascii="Arial" w:hAnsi="Arial"/>
          <w:b/>
          <w:sz w:val="24"/>
        </w:rPr>
        <w:t xml:space="preserve">License: </w:t>
      </w:r>
      <w:r>
        <w:rPr>
          <w:rFonts w:ascii="Arial" w:hAnsi="Arial"/>
          <w:sz w:val="21"/>
        </w:rPr>
        <w:t>GPL-3.0+</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