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gmetric4j 1.0.10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2010-2015 Daniel Pocock &lt;daniel@pocock.com.au&gt;</w:t>
        <w:br/>
        <w:t>Copyright (C) 2010-2012 Daniel Pocock &lt;daniel@pocock.com.au&gt;</w:t>
        <w:br/>
        <w:t>Copyright (c) 2008-2011 Jasper Humphrey &lt;jasper521@gmail.com&gt;</w:t>
        <w:br/>
        <w:t>Copyright (C) 2012 Daniel Pocock &lt;daniel@pocock.com.au&gt;</w:t>
        <w:br/>
      </w:r>
    </w:p>
    <w:p>
      <w:pPr>
        <w:spacing w:line="240" w:lineRule="auto"/>
        <w:jc w:val="left"/>
      </w:pPr>
      <w:r>
        <w:rPr>
          <w:rFonts w:ascii="Arial" w:hAnsi="Arial"/>
          <w:b/>
          <w:sz w:val="24"/>
        </w:rPr>
        <w:t xml:space="preserve">License: </w:t>
      </w:r>
      <w:r>
        <w:rPr>
          <w:rFonts w:ascii="Arial" w:hAnsi="Arial"/>
          <w:sz w:val="21"/>
        </w:rPr>
        <w:t>BSD</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