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abi</w:t>
      </w:r>
      <w:r>
        <w:rPr>
          <w:rStyle w:val="a0"/>
          <w:rFonts w:ascii="微软雅黑" w:hAnsi="微软雅黑"/>
          <w:b w:val="0"/>
          <w:sz w:val="21"/>
        </w:rPr>
        <w:t>-dumper 1.2</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br/>
      </w:r>
    </w:p>
    <w:p>
      <w:pPr/>
      <w:r>
        <w:rPr>
          <w:rStyle w:val="a0"/>
          <w:b/>
        </w:rPr>
        <w:t xml:space="preserve">License: </w:t>
      </w:r>
      <w:r>
        <w:rPr>
          <w:rStyle w:val="a0"/>
          <w:sz w:val="21"/>
        </w:rPr>
        <w:t>LGPL v2.1 and GPL v2.0</w:t>
      </w:r>
    </w:p>
    <w:p>
      <w:pPr/>
      <w:r>
        <w:rPr>
          <w:rStyle w:val="a0"/>
          <w:rFonts w:ascii="Times New Roman" w:hAnsi="Times New Roman"/>
          <w:sz w:val="21"/>
        </w:rPr>
        <w:br/>
      </w: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w:t>
      </w:r>
      <w:r>
        <w:rPr>
          <w:rStyle w:val="a0"/>
          <w:rFonts w:ascii="Times New Roman" w:hAnsi="Times New Roman"/>
          <w:sz w:val="21"/>
        </w:rPr>
        <w:t>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 xml:space="preserve">Otherwise, if the work is a derivative of the Library, you may distribute the object code for the work under the </w:t>
      </w:r>
      <w:r>
        <w:rPr>
          <w:rStyle w:val="a0"/>
          <w:rFonts w:ascii="Times New Roman" w:hAnsi="Times New Roman"/>
          <w:sz w:val="21"/>
        </w:rPr>
        <w:t>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13. The Free Software Foundation may publish revised and/or new versions of the Lesser General Public License from time to time. Such new versions will be similar in spirit to the present version, but may differ in detail to </w:t>
      </w:r>
      <w:r>
        <w:rPr>
          <w:rStyle w:val="a0"/>
          <w:rFonts w:ascii="Times New Roman" w:hAnsi="Times New Roman"/>
          <w:sz w:val="21"/>
        </w:rPr>
        <w:t>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library's name and an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 &gt;,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