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Natacha Porté</w:t>
        <w:br/>
        <w:t>Copyright (c) 2011-2016, Vicent Martí</w:t>
        <w:br/>
        <w:t>Copyright (c) 2015, Vicent Marti</w:t>
        <w:br/>
        <w:t>Copyright (c) 2008, Natacha Porté</w:t>
        <w:br/>
      </w:r>
    </w:p>
    <w:p>
      <w:pPr>
        <w:pStyle w:val="18"/>
        <w:rPr>
          <w:rFonts w:ascii="宋体" w:hAnsi="宋体" w:cs="宋体"/>
          <w:sz w:val="22"/>
          <w:szCs w:val="22"/>
        </w:rPr>
      </w:pPr>
      <w:r>
        <w:rPr>
          <w:rFonts w:ascii="Arial" w:hAnsi="Arial"/>
          <w:b/>
          <w:sz w:val="24"/>
        </w:rPr>
        <w:t xml:space="preserve">License: </w:t>
      </w:r>
      <w:r>
        <w:rPr>
          <w:rFonts w:ascii="Arial" w:hAnsi="Arial"/>
          <w:sz w:val="21"/>
        </w:rPr>
        <w:t>MIT and ISC</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