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httpcomponents-asyncclient 4.1.5</w:t>
      </w:r>
    </w:p>
    <w:p>
      <w:pPr/>
      <w:r>
        <w:rPr>
          <w:rStyle w:val="13"/>
          <w:rFonts w:ascii="Arial" w:hAnsi="Arial"/>
          <w:b/>
        </w:rPr>
        <w:t xml:space="preserve">Copyright notice: </w:t>
      </w:r>
    </w:p>
    <w:p>
      <w:pPr/>
      <w:r>
        <w:rPr>
          <w:rStyle w:val="13"/>
          <w:rFonts w:ascii="宋体" w:hAnsi="宋体"/>
          <w:sz w:val="22"/>
        </w:rPr>
        <w:t>Copyright (c) 2006, 2008 Junio C Hamano</w:t>
        <w:br/>
        <w:t>Copyright (c) 2005 Brian Goetz and Tim Peierls.</w:t>
        <w:br/>
        <w:t>Copyright 2010-2021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